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F6" w:rsidRDefault="001056D8" w:rsidP="00414195">
      <w:pPr>
        <w:snapToGrid w:val="0"/>
        <w:jc w:val="center"/>
        <w:rPr>
          <w:rFonts w:ascii="微軟正黑體" w:eastAsia="微軟正黑體" w:hAnsi="微軟正黑體"/>
          <w:b/>
        </w:rPr>
      </w:pPr>
      <w:r w:rsidRPr="003133C1">
        <w:rPr>
          <w:rFonts w:ascii="微軟正黑體" w:eastAsia="微軟正黑體" w:hAnsi="微軟正黑體" w:hint="eastAsia"/>
          <w:b/>
        </w:rPr>
        <w:t>圖書資訊利用教育課程</w:t>
      </w:r>
      <w:r w:rsidR="00414195" w:rsidRPr="003133C1">
        <w:rPr>
          <w:rFonts w:ascii="微軟正黑體" w:eastAsia="微軟正黑體" w:hAnsi="微軟正黑體" w:hint="eastAsia"/>
          <w:b/>
        </w:rPr>
        <w:t>綱要(國中)</w:t>
      </w:r>
      <w:r w:rsidR="0033355C" w:rsidRPr="003133C1">
        <w:rPr>
          <w:rFonts w:ascii="微軟正黑體" w:eastAsia="微軟正黑體" w:hAnsi="微軟正黑體" w:hint="eastAsia"/>
          <w:b/>
        </w:rPr>
        <w:t>-課程與能力指標</w:t>
      </w:r>
    </w:p>
    <w:p w:rsidR="00203705" w:rsidRPr="003133C1" w:rsidRDefault="00203705" w:rsidP="00414195">
      <w:pPr>
        <w:snapToGrid w:val="0"/>
        <w:jc w:val="center"/>
        <w:rPr>
          <w:rFonts w:ascii="微軟正黑體" w:eastAsia="微軟正黑體" w:hAnsi="微軟正黑體"/>
          <w:b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111"/>
        <w:gridCol w:w="567"/>
        <w:gridCol w:w="4536"/>
        <w:gridCol w:w="567"/>
        <w:gridCol w:w="3969"/>
      </w:tblGrid>
      <w:tr w:rsidR="003133C1" w:rsidRPr="003133C1" w:rsidTr="001B248C">
        <w:trPr>
          <w:tblHeader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C68E0" w:rsidRPr="003133C1" w:rsidRDefault="00EC68E0" w:rsidP="00EC68E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4678" w:type="dxa"/>
            <w:gridSpan w:val="2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國一(七年級)</w:t>
            </w:r>
          </w:p>
        </w:tc>
        <w:tc>
          <w:tcPr>
            <w:tcW w:w="5103" w:type="dxa"/>
            <w:gridSpan w:val="2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國二(八年級)</w:t>
            </w: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EC68E0" w:rsidRPr="003133C1" w:rsidRDefault="00EC68E0" w:rsidP="00414195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國三(九年級)</w:t>
            </w:r>
          </w:p>
        </w:tc>
      </w:tr>
      <w:tr w:rsidR="003133C1" w:rsidRPr="003133C1" w:rsidTr="003133C1">
        <w:trPr>
          <w:trHeight w:val="1692"/>
        </w:trPr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EC68E0" w:rsidRPr="003133C1" w:rsidRDefault="00EC68E0" w:rsidP="00B67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圖書館利用</w:t>
            </w:r>
          </w:p>
          <w:p w:rsidR="00EC68E0" w:rsidRPr="003133C1" w:rsidRDefault="00EC68E0" w:rsidP="00B67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C68E0" w:rsidRPr="003133C1" w:rsidRDefault="00EC68E0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EC68E0" w:rsidRPr="003133C1" w:rsidRDefault="00AE0452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學校</w:t>
            </w:r>
            <w:r w:rsidR="00EC68E0" w:rsidRPr="003133C1">
              <w:rPr>
                <w:rFonts w:ascii="微軟正黑體" w:eastAsia="微軟正黑體" w:hAnsi="微軟正黑體" w:hint="eastAsia"/>
              </w:rPr>
              <w:t>圖書館資源與服務</w:t>
            </w:r>
          </w:p>
          <w:p w:rsidR="00EC68E0" w:rsidRPr="003133C1" w:rsidRDefault="00EC68E0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圖書結構資訊</w:t>
            </w:r>
          </w:p>
          <w:p w:rsidR="00EC68E0" w:rsidRPr="003133C1" w:rsidRDefault="00EC68E0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認識傳播媒體</w:t>
            </w:r>
          </w:p>
          <w:p w:rsidR="00EC68E0" w:rsidRPr="003133C1" w:rsidRDefault="00EC68E0" w:rsidP="00EC68E0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智慧財產權的合理使用</w:t>
            </w:r>
          </w:p>
          <w:p w:rsidR="00EC68E0" w:rsidRPr="003133C1" w:rsidRDefault="007E0099" w:rsidP="00D03ECD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OPAC</w:t>
            </w:r>
            <w:r w:rsidR="00EC68E0" w:rsidRPr="003133C1">
              <w:rPr>
                <w:rFonts w:ascii="微軟正黑體" w:eastAsia="微軟正黑體" w:hAnsi="微軟正黑體" w:hint="eastAsia"/>
              </w:rPr>
              <w:t>系統</w:t>
            </w:r>
            <w:r w:rsidR="0095039A" w:rsidRPr="003133C1">
              <w:rPr>
                <w:rFonts w:ascii="微軟正黑體" w:eastAsia="微軟正黑體" w:hAnsi="微軟正黑體" w:hint="eastAsia"/>
              </w:rPr>
              <w:t>檢索</w:t>
            </w:r>
            <w:r w:rsidR="00EC68E0" w:rsidRPr="003133C1">
              <w:rPr>
                <w:rFonts w:ascii="微軟正黑體" w:eastAsia="微軟正黑體" w:hAnsi="微軟正黑體" w:hint="eastAsia"/>
              </w:rPr>
              <w:t>與應用</w:t>
            </w:r>
          </w:p>
          <w:p w:rsidR="00EA7B68" w:rsidRPr="003133C1" w:rsidRDefault="00C4778E" w:rsidP="00EA7B68">
            <w:pPr>
              <w:pStyle w:val="a8"/>
              <w:numPr>
                <w:ilvl w:val="0"/>
                <w:numId w:val="17"/>
              </w:numPr>
              <w:snapToGrid w:val="0"/>
              <w:ind w:leftChars="0" w:left="295" w:hanging="29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搜</w:t>
            </w:r>
            <w:r w:rsidR="007E0099" w:rsidRPr="003133C1">
              <w:rPr>
                <w:rFonts w:ascii="微軟正黑體" w:eastAsia="微軟正黑體" w:hAnsi="微軟正黑體" w:hint="eastAsia"/>
              </w:rPr>
              <w:t>尋引擎</w:t>
            </w:r>
            <w:r w:rsidR="00EC68E0" w:rsidRPr="003133C1">
              <w:rPr>
                <w:rFonts w:ascii="微軟正黑體" w:eastAsia="微軟正黑體" w:hAnsi="微軟正黑體" w:hint="eastAsia"/>
              </w:rPr>
              <w:t>檢索技巧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4870F7" w:rsidRPr="003133C1" w:rsidRDefault="004870F7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4870F7" w:rsidRPr="003133C1" w:rsidRDefault="004870F7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EC68E0" w:rsidRPr="003133C1" w:rsidRDefault="00EC68E0" w:rsidP="004870F7">
            <w:pPr>
              <w:snapToGrid w:val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EC68E0" w:rsidRPr="003133C1" w:rsidRDefault="00EC68E0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EC68E0" w:rsidRPr="003133C1" w:rsidRDefault="00EC68E0" w:rsidP="00EA7B68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A8372D" w:rsidRPr="003133C1" w:rsidRDefault="00AE0452" w:rsidP="00946BA0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公共</w:t>
            </w:r>
            <w:r w:rsidR="00EC68E0" w:rsidRPr="003133C1">
              <w:rPr>
                <w:rFonts w:ascii="微軟正黑體" w:eastAsia="微軟正黑體" w:hAnsi="微軟正黑體" w:hint="eastAsia"/>
              </w:rPr>
              <w:t>圖書館資源</w:t>
            </w:r>
          </w:p>
          <w:p w:rsidR="00EC68E0" w:rsidRPr="003133C1" w:rsidRDefault="009655A4" w:rsidP="00946BA0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認識</w:t>
            </w:r>
            <w:r w:rsidR="006726BF" w:rsidRPr="003133C1">
              <w:rPr>
                <w:rFonts w:ascii="微軟正黑體" w:eastAsia="微軟正黑體" w:hAnsi="微軟正黑體" w:hint="eastAsia"/>
              </w:rPr>
              <w:t>連續性出版品</w:t>
            </w:r>
          </w:p>
          <w:p w:rsidR="00946BA0" w:rsidRPr="003133C1" w:rsidRDefault="00946BA0" w:rsidP="00946BA0">
            <w:pPr>
              <w:pStyle w:val="a8"/>
              <w:numPr>
                <w:ilvl w:val="0"/>
                <w:numId w:val="18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檢索評估並應用館藏及電子資源</w:t>
            </w:r>
          </w:p>
          <w:p w:rsidR="00946BA0" w:rsidRPr="003133C1" w:rsidRDefault="00946BA0" w:rsidP="00946BA0">
            <w:pPr>
              <w:pStyle w:val="a8"/>
              <w:snapToGrid w:val="0"/>
              <w:ind w:leftChars="0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80051B" w:rsidRPr="003133C1" w:rsidRDefault="0080051B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80051B" w:rsidRPr="003133C1" w:rsidRDefault="0080051B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A8372D" w:rsidRPr="003133C1" w:rsidRDefault="00A8372D" w:rsidP="0080051B">
            <w:pPr>
              <w:snapToGrid w:val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EC68E0" w:rsidRPr="003133C1" w:rsidRDefault="00EC68E0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:rsidR="00EC68E0" w:rsidRPr="003133C1" w:rsidRDefault="00EC68E0" w:rsidP="0080051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9655A4" w:rsidRPr="003133C1" w:rsidRDefault="009655A4" w:rsidP="00946BA0">
            <w:pPr>
              <w:pStyle w:val="a8"/>
              <w:snapToGrid w:val="0"/>
              <w:ind w:leftChars="0" w:left="318"/>
              <w:rPr>
                <w:rFonts w:ascii="微軟正黑體" w:eastAsia="微軟正黑體" w:hAnsi="微軟正黑體"/>
              </w:rPr>
            </w:pPr>
          </w:p>
        </w:tc>
      </w:tr>
      <w:tr w:rsidR="003133C1" w:rsidRPr="003133C1" w:rsidTr="003133C1">
        <w:trPr>
          <w:trHeight w:val="790"/>
        </w:trPr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A8D08D" w:themeFill="accent6" w:themeFillTint="99"/>
            <w:vAlign w:val="center"/>
          </w:tcPr>
          <w:p w:rsidR="00A8372D" w:rsidRPr="003133C1" w:rsidRDefault="00A8372D" w:rsidP="00B67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8372D" w:rsidRPr="003133C1" w:rsidRDefault="00A8372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瞭解學校圖書館提供之資源與服務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1-2</w:t>
            </w:r>
            <w:r w:rsidR="00194376" w:rsidRPr="003133C1">
              <w:rPr>
                <w:rFonts w:ascii="微軟正黑體" w:eastAsia="微軟正黑體" w:hAnsi="微軟正黑體" w:cs="微軟正黑體"/>
                <w:sz w:val="21"/>
              </w:rPr>
              <w:t>認識公共圖書館</w:t>
            </w:r>
            <w:r w:rsidR="00194376" w:rsidRPr="003133C1">
              <w:rPr>
                <w:rFonts w:ascii="微軟正黑體" w:eastAsia="微軟正黑體" w:hAnsi="微軟正黑體" w:cs="微軟正黑體" w:hint="eastAsia"/>
                <w:sz w:val="21"/>
              </w:rPr>
              <w:t>與學校圖書館的差異</w:t>
            </w:r>
          </w:p>
          <w:p w:rsidR="00765858" w:rsidRPr="003133C1" w:rsidRDefault="00765858" w:rsidP="00765858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</w:t>
            </w:r>
            <w:r w:rsidR="006726BF" w:rsidRPr="003133C1">
              <w:rPr>
                <w:rFonts w:ascii="微軟正黑體" w:eastAsia="微軟正黑體" w:hAnsi="微軟正黑體" w:cs="微軟正黑體" w:hint="eastAsia"/>
                <w:sz w:val="21"/>
              </w:rPr>
              <w:t>-3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瞭解中文圖書分類法階層概念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2-1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認識圖書基本結構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2-2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認識目錄、索引與本文的關係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認識傳播媒體的種類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3-2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認識傳播媒體的發展歷程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3-3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能瞭解不同傳播媒體的異同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4-1</w:t>
            </w:r>
            <w:r w:rsidR="00EA7B68" w:rsidRPr="003133C1">
              <w:rPr>
                <w:rFonts w:ascii="微軟正黑體" w:eastAsia="微軟正黑體" w:hAnsi="微軟正黑體" w:cs="微軟正黑體" w:hint="eastAsia"/>
                <w:sz w:val="21"/>
              </w:rPr>
              <w:t>認識</w:t>
            </w:r>
            <w:r w:rsidR="00EA7B68" w:rsidRPr="003133C1">
              <w:rPr>
                <w:rFonts w:ascii="微軟正黑體" w:eastAsia="微軟正黑體" w:hAnsi="微軟正黑體" w:cs="微軟正黑體"/>
                <w:sz w:val="21"/>
              </w:rPr>
              <w:t xml:space="preserve">智慧財產權 </w:t>
            </w:r>
          </w:p>
          <w:p w:rsidR="00A8372D" w:rsidRPr="003133C1" w:rsidRDefault="00EA7B68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4-2認識著作權的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合理使用</w:t>
            </w:r>
          </w:p>
          <w:p w:rsidR="00A8372D" w:rsidRPr="003133C1" w:rsidRDefault="00EA7B68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4-3</w:t>
            </w:r>
            <w:r w:rsidR="00A8372D" w:rsidRPr="003133C1">
              <w:rPr>
                <w:rFonts w:ascii="微軟正黑體" w:eastAsia="微軟正黑體" w:hAnsi="微軟正黑體" w:cs="微軟正黑體"/>
                <w:sz w:val="21"/>
              </w:rPr>
              <w:t>認識創用CC</w:t>
            </w: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授權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5-1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瞭解檢索系統基本原理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5-2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能操作檢索系統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5-3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能使用檢索系統搜尋並取得書籍</w:t>
            </w:r>
          </w:p>
          <w:p w:rsidR="00A25103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6-1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能選用適當的關鍵字</w:t>
            </w:r>
            <w:r w:rsidR="00EA7B68" w:rsidRPr="003133C1">
              <w:rPr>
                <w:rFonts w:ascii="微軟正黑體" w:eastAsia="微軟正黑體" w:hAnsi="微軟正黑體" w:cs="微軟正黑體"/>
                <w:sz w:val="21"/>
              </w:rPr>
              <w:t xml:space="preserve"> </w:t>
            </w:r>
          </w:p>
          <w:p w:rsidR="00A8372D" w:rsidRPr="003133C1" w:rsidRDefault="00EA7B68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6-2</w:t>
            </w:r>
            <w:r w:rsidR="00A8372D" w:rsidRPr="003133C1">
              <w:rPr>
                <w:rFonts w:ascii="微軟正黑體" w:eastAsia="微軟正黑體" w:hAnsi="微軟正黑體" w:cs="微軟正黑體"/>
                <w:sz w:val="21"/>
              </w:rPr>
              <w:t>能瞭解搜尋引擎進階搜尋操作方式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8372D" w:rsidRPr="003133C1" w:rsidRDefault="00A8372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EA7B68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1-1</w:t>
            </w:r>
            <w:r w:rsidR="00EA7B68" w:rsidRPr="003133C1">
              <w:rPr>
                <w:rFonts w:ascii="微軟正黑體" w:eastAsia="微軟正黑體" w:hAnsi="微軟正黑體" w:cs="微軟正黑體" w:hint="eastAsia"/>
                <w:sz w:val="21"/>
              </w:rPr>
              <w:t>認識公共圖書館的類型</w:t>
            </w:r>
          </w:p>
          <w:p w:rsidR="00A8372D" w:rsidRPr="003133C1" w:rsidRDefault="00A8372D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1-2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能使用公共圖書館實體資源</w:t>
            </w:r>
          </w:p>
          <w:p w:rsidR="00EA7B68" w:rsidRPr="003133C1" w:rsidRDefault="00EA7B68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1-3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能使用公共圖書館的數位資源</w:t>
            </w:r>
          </w:p>
          <w:p w:rsidR="00A8372D" w:rsidRPr="003133C1" w:rsidRDefault="0019762A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2</w:t>
            </w:r>
            <w:r w:rsidR="00A8372D" w:rsidRPr="003133C1">
              <w:rPr>
                <w:rFonts w:ascii="微軟正黑體" w:eastAsia="微軟正黑體" w:hAnsi="微軟正黑體" w:cs="微軟正黑體" w:hint="eastAsia"/>
                <w:sz w:val="21"/>
              </w:rPr>
              <w:t>-1</w:t>
            </w:r>
            <w:r w:rsidR="00EA7B68" w:rsidRPr="003133C1">
              <w:rPr>
                <w:rFonts w:ascii="微軟正黑體" w:eastAsia="微軟正黑體" w:hAnsi="微軟正黑體" w:cs="微軟正黑體" w:hint="eastAsia"/>
                <w:sz w:val="21"/>
              </w:rPr>
              <w:t>認識連續性出版品</w:t>
            </w:r>
            <w:r w:rsidR="00A8372D" w:rsidRPr="003133C1">
              <w:rPr>
                <w:rFonts w:ascii="微軟正黑體" w:eastAsia="微軟正黑體" w:hAnsi="微軟正黑體" w:cs="微軟正黑體"/>
                <w:sz w:val="21"/>
              </w:rPr>
              <w:t>的類型</w:t>
            </w:r>
            <w:r w:rsidR="00EA7B68" w:rsidRPr="003133C1">
              <w:rPr>
                <w:rFonts w:ascii="微軟正黑體" w:eastAsia="微軟正黑體" w:hAnsi="微軟正黑體" w:cs="微軟正黑體" w:hint="eastAsia"/>
                <w:sz w:val="21"/>
              </w:rPr>
              <w:t>與差異</w:t>
            </w:r>
          </w:p>
          <w:p w:rsidR="00A8372D" w:rsidRPr="003133C1" w:rsidRDefault="0019762A" w:rsidP="00A8372D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2</w:t>
            </w:r>
            <w:r w:rsidR="00A8372D" w:rsidRPr="003133C1">
              <w:rPr>
                <w:rFonts w:ascii="微軟正黑體" w:eastAsia="微軟正黑體" w:hAnsi="微軟正黑體" w:cs="微軟正黑體" w:hint="eastAsia"/>
                <w:sz w:val="21"/>
              </w:rPr>
              <w:t>-2</w:t>
            </w:r>
            <w:r w:rsidR="00E454AD" w:rsidRPr="003133C1">
              <w:rPr>
                <w:rFonts w:ascii="微軟正黑體" w:eastAsia="微軟正黑體" w:hAnsi="微軟正黑體" w:cs="微軟正黑體" w:hint="eastAsia"/>
                <w:sz w:val="21"/>
              </w:rPr>
              <w:t>評估</w:t>
            </w:r>
            <w:r w:rsidR="00EA7B68" w:rsidRPr="003133C1">
              <w:rPr>
                <w:rFonts w:ascii="微軟正黑體" w:eastAsia="微軟正黑體" w:hAnsi="微軟正黑體" w:cs="微軟正黑體" w:hint="eastAsia"/>
                <w:sz w:val="21"/>
              </w:rPr>
              <w:t>連續性出版品</w:t>
            </w:r>
            <w:r w:rsidR="00E454AD" w:rsidRPr="003133C1">
              <w:rPr>
                <w:rFonts w:ascii="微軟正黑體" w:eastAsia="微軟正黑體" w:hAnsi="微軟正黑體" w:cs="微軟正黑體" w:hint="eastAsia"/>
                <w:sz w:val="21"/>
              </w:rPr>
              <w:t>的品質與有效性</w:t>
            </w:r>
          </w:p>
          <w:p w:rsidR="00946BA0" w:rsidRPr="003133C1" w:rsidRDefault="00946BA0" w:rsidP="00946BA0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3-1</w:t>
            </w:r>
            <w:r w:rsidRPr="003133C1">
              <w:rPr>
                <w:rFonts w:ascii="微軟正黑體" w:eastAsia="微軟正黑體" w:hAnsi="微軟正黑體" w:cs="微軟正黑體"/>
                <w:sz w:val="21"/>
              </w:rPr>
              <w:t>能依據主題搜尋並取得資源</w:t>
            </w:r>
          </w:p>
          <w:p w:rsidR="00946BA0" w:rsidRPr="003133C1" w:rsidRDefault="00946BA0" w:rsidP="00946BA0">
            <w:pPr>
              <w:adjustRightInd w:val="0"/>
              <w:snapToGrid w:val="0"/>
              <w:rPr>
                <w:rFonts w:ascii="微軟正黑體" w:eastAsia="微軟正黑體" w:hAnsi="微軟正黑體" w:cs="微軟正黑體"/>
                <w:sz w:val="21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3-2能依據指標評估資訊</w:t>
            </w:r>
          </w:p>
          <w:p w:rsidR="00946BA0" w:rsidRPr="003133C1" w:rsidRDefault="00202493" w:rsidP="00A837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cs="微軟正黑體" w:hint="eastAsia"/>
                <w:sz w:val="21"/>
              </w:rPr>
              <w:t>3-3能註明參考資源出處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8372D" w:rsidRPr="003133C1" w:rsidRDefault="00A8372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A8372D" w:rsidRPr="003133C1" w:rsidRDefault="00A8372D" w:rsidP="00946BA0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bookmarkStart w:id="0" w:name="_gjdgxs" w:colFirst="0" w:colLast="0"/>
            <w:bookmarkEnd w:id="0"/>
          </w:p>
        </w:tc>
      </w:tr>
      <w:tr w:rsidR="003133C1" w:rsidRPr="003133C1" w:rsidTr="007D0817">
        <w:trPr>
          <w:trHeight w:val="1772"/>
        </w:trPr>
        <w:tc>
          <w:tcPr>
            <w:tcW w:w="1560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901F31" w:rsidRPr="003133C1" w:rsidRDefault="00901F31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  <w:p w:rsidR="00901F31" w:rsidRPr="003133C1" w:rsidRDefault="00901F31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  <w:p w:rsidR="00901F31" w:rsidRPr="003133C1" w:rsidRDefault="00901F31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  <w:p w:rsidR="00901F31" w:rsidRPr="003133C1" w:rsidRDefault="00901F31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  <w:p w:rsidR="00901F31" w:rsidRPr="003133C1" w:rsidRDefault="00901F31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  <w:p w:rsidR="00901F31" w:rsidRPr="003133C1" w:rsidRDefault="00901F31" w:rsidP="002E4C9B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閱讀素養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01F31" w:rsidRPr="003133C1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901F31" w:rsidRPr="003133C1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B37412" w:rsidRPr="007D0817" w:rsidRDefault="00901F31" w:rsidP="00B37412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閱讀策略</w:t>
            </w:r>
          </w:p>
          <w:p w:rsidR="00B37412" w:rsidRPr="007D0817" w:rsidRDefault="007D0817" w:rsidP="00B37412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數位閱讀素養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353F6B" w:rsidRPr="007D0817">
              <w:rPr>
                <w:rFonts w:ascii="微軟正黑體" w:eastAsia="微軟正黑體" w:hAnsi="微軟正黑體" w:hint="eastAsia"/>
              </w:rPr>
              <w:t>辨識</w:t>
            </w:r>
            <w:r w:rsidR="00353F6B" w:rsidRPr="007D0817">
              <w:rPr>
                <w:rFonts w:ascii="微軟正黑體" w:eastAsia="微軟正黑體" w:hAnsi="微軟正黑體"/>
              </w:rPr>
              <w:t>數位文本的品質與正確性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901F31" w:rsidRPr="007D0817" w:rsidRDefault="00A90244" w:rsidP="00B425F6">
            <w:pPr>
              <w:pStyle w:val="a8"/>
              <w:numPr>
                <w:ilvl w:val="0"/>
                <w:numId w:val="20"/>
              </w:numPr>
              <w:snapToGrid w:val="0"/>
              <w:ind w:leftChars="0" w:left="318" w:hanging="318"/>
              <w:jc w:val="both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圖表</w:t>
            </w:r>
            <w:r w:rsidR="003B1EA4" w:rsidRPr="007D0817">
              <w:rPr>
                <w:rFonts w:ascii="微軟正黑體" w:eastAsia="微軟正黑體" w:hAnsi="微軟正黑體" w:hint="eastAsia"/>
              </w:rPr>
              <w:t>判</w:t>
            </w:r>
            <w:r w:rsidR="00B37412" w:rsidRPr="007D0817">
              <w:rPr>
                <w:rFonts w:ascii="微軟正黑體" w:eastAsia="微軟正黑體" w:hAnsi="微軟正黑體" w:hint="eastAsia"/>
              </w:rPr>
              <w:t>讀與製作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01F31" w:rsidRPr="007D0817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課程</w:t>
            </w:r>
          </w:p>
          <w:p w:rsidR="00901F31" w:rsidRPr="007D0817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9823BA" w:rsidRPr="007D0817" w:rsidRDefault="00901F31" w:rsidP="009823BA">
            <w:pPr>
              <w:pStyle w:val="a8"/>
              <w:numPr>
                <w:ilvl w:val="0"/>
                <w:numId w:val="21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閱讀策略</w:t>
            </w:r>
            <w:r w:rsidR="00A5033D" w:rsidRPr="007D0817">
              <w:rPr>
                <w:rFonts w:ascii="微軟正黑體" w:eastAsia="微軟正黑體" w:hAnsi="微軟正黑體" w:hint="eastAsia"/>
              </w:rPr>
              <w:t>應用</w:t>
            </w:r>
            <w:r w:rsidR="009823BA" w:rsidRPr="007D0817">
              <w:rPr>
                <w:rFonts w:ascii="微軟正黑體" w:eastAsia="微軟正黑體" w:hAnsi="微軟正黑體" w:hint="eastAsia"/>
              </w:rPr>
              <w:t>(連續性及非連續性文本)</w:t>
            </w:r>
          </w:p>
          <w:p w:rsidR="00A63776" w:rsidRPr="007D0817" w:rsidRDefault="007D0817" w:rsidP="003B14DC">
            <w:pPr>
              <w:pStyle w:val="a8"/>
              <w:numPr>
                <w:ilvl w:val="0"/>
                <w:numId w:val="21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數位閱讀素養</w:t>
            </w:r>
            <w:r>
              <w:rPr>
                <w:rFonts w:ascii="微軟正黑體" w:eastAsia="微軟正黑體" w:hAnsi="微軟正黑體" w:hint="eastAsia"/>
              </w:rPr>
              <w:t>(</w:t>
            </w:r>
            <w:r w:rsidR="00353F6B" w:rsidRPr="007D0817">
              <w:rPr>
                <w:rFonts w:ascii="微軟正黑體" w:eastAsia="微軟正黑體" w:hAnsi="微軟正黑體" w:hint="eastAsia"/>
              </w:rPr>
              <w:t>選擇與評估數位文本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B36150" w:rsidRPr="007D0817" w:rsidRDefault="00B36150" w:rsidP="00353F6B">
            <w:pPr>
              <w:pStyle w:val="a8"/>
              <w:snapToGrid w:val="0"/>
              <w:ind w:leftChars="0" w:left="319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01F31" w:rsidRPr="007D0817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課程</w:t>
            </w:r>
          </w:p>
          <w:p w:rsidR="00901F31" w:rsidRPr="007D0817" w:rsidRDefault="00901F31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33355C" w:rsidRPr="007D0817" w:rsidRDefault="009823BA" w:rsidP="009823BA">
            <w:pPr>
              <w:pStyle w:val="a8"/>
              <w:numPr>
                <w:ilvl w:val="0"/>
                <w:numId w:val="22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相同主題不同文本</w:t>
            </w:r>
            <w:r w:rsidR="00353F6B" w:rsidRPr="007D0817">
              <w:rPr>
                <w:rFonts w:ascii="微軟正黑體" w:eastAsia="微軟正黑體" w:hAnsi="微軟正黑體" w:hint="eastAsia"/>
              </w:rPr>
              <w:t>的比較與統整</w:t>
            </w:r>
            <w:r w:rsidR="00901F31" w:rsidRPr="007D081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01F31" w:rsidRPr="007D0817" w:rsidRDefault="00353F6B" w:rsidP="003B14DC">
            <w:pPr>
              <w:pStyle w:val="a8"/>
              <w:numPr>
                <w:ilvl w:val="0"/>
                <w:numId w:val="22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7D0817">
              <w:rPr>
                <w:rFonts w:ascii="微軟正黑體" w:eastAsia="微軟正黑體" w:hAnsi="微軟正黑體" w:hint="eastAsia"/>
              </w:rPr>
              <w:t>閱讀與</w:t>
            </w:r>
            <w:r w:rsidR="00B36150" w:rsidRPr="007D0817">
              <w:rPr>
                <w:rFonts w:ascii="微軟正黑體" w:eastAsia="微軟正黑體" w:hAnsi="微軟正黑體" w:hint="eastAsia"/>
              </w:rPr>
              <w:t>深度討論</w:t>
            </w:r>
          </w:p>
          <w:p w:rsidR="00901F31" w:rsidRPr="007D0817" w:rsidRDefault="00901F31" w:rsidP="00B36150">
            <w:pPr>
              <w:snapToGrid w:val="0"/>
              <w:ind w:firstLineChars="100" w:firstLine="240"/>
              <w:rPr>
                <w:rFonts w:ascii="微軟正黑體" w:eastAsia="微軟正黑體" w:hAnsi="微軟正黑體"/>
              </w:rPr>
            </w:pPr>
          </w:p>
        </w:tc>
      </w:tr>
      <w:tr w:rsidR="00E22EBD" w:rsidRPr="003133C1" w:rsidTr="003133C1">
        <w:trPr>
          <w:trHeight w:val="1999"/>
        </w:trPr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BDD6EE" w:themeFill="accent1" w:themeFillTint="66"/>
          </w:tcPr>
          <w:p w:rsidR="00E22EBD" w:rsidRPr="003133C1" w:rsidRDefault="00E22EBD" w:rsidP="00414195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22EBD" w:rsidRPr="003133C1" w:rsidRDefault="00E22EB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1-1理解各類文本的句子、段落與主要概念，指出寫作的目的與觀點。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1-2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 xml:space="preserve"> </w:t>
            </w: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運用適合學習階段的閱讀策略，能對文本進行閱讀與思考相關的生活經驗連結，並摘要重點。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1-3理解各類文本內容、形式和寫作特色。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2-1能應用基本數位閱讀策略與判斷力進行學習。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</w:rPr>
              <w:t>3-1能夠整合所得資訊，進行檢索、統整、解釋，並能夠轉化成表與圖的素養與能力。</w:t>
            </w:r>
          </w:p>
          <w:p w:rsidR="00E22EBD" w:rsidRPr="00E22EBD" w:rsidRDefault="00E22EBD" w:rsidP="004D2627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</w:rPr>
              <w:t>3-2具備製作基本統計圖表與統整、解釋、判</w:t>
            </w:r>
            <w:proofErr w:type="gramStart"/>
            <w:r w:rsidRPr="00E22EBD">
              <w:rPr>
                <w:rFonts w:ascii="微軟正黑體" w:eastAsia="微軟正黑體" w:hAnsi="微軟正黑體" w:hint="eastAsia"/>
                <w:sz w:val="21"/>
              </w:rPr>
              <w:t>讀圖表</w:t>
            </w:r>
            <w:proofErr w:type="gramEnd"/>
            <w:r w:rsidRPr="00E22EBD">
              <w:rPr>
                <w:rFonts w:ascii="微軟正黑體" w:eastAsia="微軟正黑體" w:hAnsi="微軟正黑體" w:hint="eastAsia"/>
                <w:sz w:val="21"/>
              </w:rPr>
              <w:t>之能力。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22EBD" w:rsidRPr="003133C1" w:rsidRDefault="00E22EB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4536" w:type="dxa"/>
            <w:tcBorders>
              <w:bottom w:val="single" w:sz="18" w:space="0" w:color="auto"/>
            </w:tcBorders>
          </w:tcPr>
          <w:p w:rsidR="00E22EBD" w:rsidRPr="00E22EBD" w:rsidRDefault="00E22EBD" w:rsidP="0074714C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</w:rPr>
              <w:t>1-1</w:t>
            </w:r>
            <w:r w:rsidRPr="00E22EBD">
              <w:rPr>
                <w:rFonts w:ascii="微軟正黑體" w:eastAsia="微軟正黑體" w:hAnsi="微軟正黑體"/>
                <w:sz w:val="21"/>
              </w:rPr>
              <w:t xml:space="preserve"> </w:t>
            </w:r>
            <w:r w:rsidRPr="00E22EBD">
              <w:rPr>
                <w:rFonts w:ascii="微軟正黑體" w:eastAsia="微軟正黑體" w:hAnsi="微軟正黑體" w:hint="eastAsia"/>
                <w:sz w:val="21"/>
              </w:rPr>
              <w:t>應用閱讀策略增進學習效能，整合跨</w:t>
            </w:r>
          </w:p>
          <w:p w:rsidR="00E22EBD" w:rsidRPr="00E22EBD" w:rsidRDefault="00E22EBD" w:rsidP="00E22EBD">
            <w:pPr>
              <w:snapToGrid w:val="0"/>
              <w:ind w:firstLineChars="200" w:firstLine="420"/>
              <w:rPr>
                <w:rFonts w:ascii="微軟正黑體" w:eastAsia="微軟正黑體" w:hAnsi="微軟正黑體"/>
                <w:sz w:val="21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</w:rPr>
              <w:t>領域知識轉化為解決問題的能力。</w:t>
            </w:r>
          </w:p>
          <w:p w:rsidR="00E22EBD" w:rsidRPr="00E22EBD" w:rsidRDefault="00E22EBD" w:rsidP="0074714C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</w:rPr>
              <w:t>2-1</w:t>
            </w:r>
            <w:r w:rsidRPr="00E22EBD">
              <w:rPr>
                <w:rFonts w:ascii="微軟正黑體" w:eastAsia="微軟正黑體" w:hAnsi="微軟正黑體" w:hint="eastAsia"/>
                <w:sz w:val="20"/>
              </w:rPr>
              <w:t>能以閱讀策略促進數位學習能力，應用與整合各種知識並能夠進一步解決問題。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22EBD" w:rsidRPr="00293C7A" w:rsidRDefault="00E22EBD" w:rsidP="001616E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能力指標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1-1大量閱讀多元文本，理解議題內和</w:t>
            </w:r>
            <w:proofErr w:type="gramStart"/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及</w:t>
            </w:r>
            <w:proofErr w:type="gramEnd"/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其與個人生活、社會結構的關聯性。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2-1能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表達自我的經驗、理念與情意，並學會</w:t>
            </w: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多元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角度思考問題，尋求共識，具備與他人有效溝通與協商的能力。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 w:val="21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2-2透過深度討論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增進</w:t>
            </w: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高層次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理解，進而提升欣賞及</w:t>
            </w:r>
            <w:proofErr w:type="gramStart"/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評析文本</w:t>
            </w:r>
            <w:proofErr w:type="gramEnd"/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的能力，並能傾聽他人的需求、理解他人的觀點，達到良性的人我溝通與互動。</w:t>
            </w:r>
          </w:p>
          <w:p w:rsidR="00E22EBD" w:rsidRPr="00E22EBD" w:rsidRDefault="00E22EBD" w:rsidP="00E22EBD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2-3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與他人互動時，能積極參與、學習協調合作的能力，發揮群策群力的團隊精神。在生活中建立友善的人際關係</w:t>
            </w:r>
            <w:r w:rsidRPr="00E22EBD">
              <w:rPr>
                <w:rFonts w:ascii="微軟正黑體" w:eastAsia="微軟正黑體" w:hAnsi="微軟正黑體" w:hint="eastAsia"/>
                <w:sz w:val="21"/>
                <w:szCs w:val="24"/>
              </w:rPr>
              <w:t>與民主素養</w:t>
            </w:r>
            <w:r w:rsidRPr="00E22EBD">
              <w:rPr>
                <w:rFonts w:ascii="微軟正黑體" w:eastAsia="微軟正黑體" w:hAnsi="微軟正黑體"/>
                <w:sz w:val="21"/>
                <w:szCs w:val="24"/>
              </w:rPr>
              <w:t>。</w:t>
            </w:r>
          </w:p>
        </w:tc>
      </w:tr>
      <w:tr w:rsidR="00E22EBD" w:rsidRPr="003133C1" w:rsidTr="003133C1">
        <w:trPr>
          <w:trHeight w:val="1512"/>
        </w:trPr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8496B0" w:themeFill="text2" w:themeFillTint="99"/>
            <w:vAlign w:val="center"/>
          </w:tcPr>
          <w:p w:rsidR="00E22EBD" w:rsidRPr="003133C1" w:rsidRDefault="00E22EBD" w:rsidP="00232D6F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133C1">
              <w:rPr>
                <w:rFonts w:ascii="微軟正黑體" w:eastAsia="微軟正黑體" w:hAnsi="微軟正黑體" w:hint="eastAsia"/>
                <w:b/>
              </w:rPr>
              <w:t>資訊素養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F7CAAC" w:themeFill="accent2" w:themeFillTint="66"/>
          </w:tcPr>
          <w:p w:rsidR="00E22EBD" w:rsidRPr="003133C1" w:rsidRDefault="00E22EBD" w:rsidP="00AF1B8B">
            <w:pPr>
              <w:pStyle w:val="a8"/>
              <w:numPr>
                <w:ilvl w:val="0"/>
                <w:numId w:val="23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分組定義問題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F7CAAC" w:themeFill="accent2" w:themeFillTint="66"/>
          </w:tcPr>
          <w:p w:rsidR="00E22EBD" w:rsidRPr="003133C1" w:rsidRDefault="00E22EBD" w:rsidP="00CD497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認識BIG6</w:t>
            </w:r>
          </w:p>
          <w:p w:rsidR="00E22EBD" w:rsidRPr="003133C1" w:rsidRDefault="00E22EBD" w:rsidP="00CD497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 xml:space="preserve">分組定義及確定研究議題 </w:t>
            </w:r>
          </w:p>
          <w:p w:rsidR="00E22EBD" w:rsidRPr="003133C1" w:rsidRDefault="00E22EBD" w:rsidP="004870F7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搜</w:t>
            </w:r>
            <w:r w:rsidRPr="003133C1">
              <w:rPr>
                <w:rFonts w:ascii="微軟正黑體" w:eastAsia="微軟正黑體" w:hAnsi="微軟正黑體" w:hint="eastAsia"/>
              </w:rPr>
              <w:t>尋、取得有用的資訊</w:t>
            </w:r>
          </w:p>
          <w:p w:rsidR="00E22EBD" w:rsidRPr="003133C1" w:rsidRDefault="00E22EBD" w:rsidP="003758C8">
            <w:pPr>
              <w:pStyle w:val="a8"/>
              <w:numPr>
                <w:ilvl w:val="0"/>
                <w:numId w:val="24"/>
              </w:numPr>
              <w:snapToGrid w:val="0"/>
              <w:ind w:leftChars="0" w:left="319" w:hanging="319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評估資訊品質及比較不同之觀點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7CAAC" w:themeFill="accent2" w:themeFillTint="66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課程</w:t>
            </w:r>
          </w:p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F7CAAC" w:themeFill="accent2" w:themeFillTint="66"/>
          </w:tcPr>
          <w:p w:rsidR="00E22EBD" w:rsidRPr="00293C7A" w:rsidRDefault="00E22EBD" w:rsidP="001B248C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具備學術倫理的觀念</w:t>
            </w:r>
          </w:p>
          <w:p w:rsidR="00E22EBD" w:rsidRPr="00293C7A" w:rsidRDefault="00E22EBD" w:rsidP="0083087A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整合應用資訊及撰寫報告</w:t>
            </w:r>
          </w:p>
          <w:p w:rsidR="00E22EBD" w:rsidRPr="00293C7A" w:rsidRDefault="00E22EBD" w:rsidP="00A057B9">
            <w:pPr>
              <w:pStyle w:val="a8"/>
              <w:numPr>
                <w:ilvl w:val="0"/>
                <w:numId w:val="25"/>
              </w:numPr>
              <w:snapToGrid w:val="0"/>
              <w:ind w:leftChars="0" w:left="317" w:hanging="317"/>
              <w:rPr>
                <w:rFonts w:ascii="微軟正黑體" w:eastAsia="微軟正黑體" w:hAnsi="微軟正黑體"/>
              </w:rPr>
            </w:pPr>
            <w:r w:rsidRPr="00293C7A">
              <w:rPr>
                <w:rFonts w:ascii="微軟正黑體" w:eastAsia="微軟正黑體" w:hAnsi="微軟正黑體" w:hint="eastAsia"/>
              </w:rPr>
              <w:t>產出分享及評鑑專題報告</w:t>
            </w:r>
          </w:p>
          <w:p w:rsidR="00E22EBD" w:rsidRPr="00293C7A" w:rsidRDefault="00E22EBD" w:rsidP="00A057B9">
            <w:pPr>
              <w:pStyle w:val="a8"/>
              <w:snapToGrid w:val="0"/>
              <w:ind w:leftChars="0" w:left="317"/>
              <w:rPr>
                <w:rFonts w:ascii="微軟正黑體" w:eastAsia="微軟正黑體" w:hAnsi="微軟正黑體"/>
              </w:rPr>
            </w:pPr>
          </w:p>
        </w:tc>
      </w:tr>
      <w:tr w:rsidR="00E22EBD" w:rsidRPr="003133C1" w:rsidTr="00203705">
        <w:trPr>
          <w:trHeight w:val="1187"/>
        </w:trPr>
        <w:tc>
          <w:tcPr>
            <w:tcW w:w="1560" w:type="dxa"/>
            <w:vMerge/>
            <w:shd w:val="clear" w:color="auto" w:fill="8496B0" w:themeFill="text2" w:themeFillTint="99"/>
            <w:vAlign w:val="center"/>
          </w:tcPr>
          <w:p w:rsidR="00E22EBD" w:rsidRPr="003133C1" w:rsidRDefault="00E22EBD" w:rsidP="00B673AD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</w:t>
            </w:r>
            <w:r w:rsidRPr="003133C1">
              <w:rPr>
                <w:rFonts w:ascii="微軟正黑體" w:eastAsia="微軟正黑體" w:hAnsi="微軟正黑體" w:hint="eastAsia"/>
              </w:rPr>
              <w:lastRenderedPageBreak/>
              <w:t>標</w:t>
            </w:r>
          </w:p>
        </w:tc>
        <w:tc>
          <w:tcPr>
            <w:tcW w:w="4111" w:type="dxa"/>
          </w:tcPr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lastRenderedPageBreak/>
              <w:t>1-1透過合作學習，發展與同儕溝通、共同參與及共同發掘相關知識的能力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1-2討論及辨識所需資訊，並根據資訊定義研究之問題</w:t>
            </w:r>
          </w:p>
        </w:tc>
        <w:tc>
          <w:tcPr>
            <w:tcW w:w="567" w:type="dxa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t>能力指</w:t>
            </w:r>
            <w:r w:rsidRPr="003133C1">
              <w:rPr>
                <w:rFonts w:ascii="微軟正黑體" w:eastAsia="微軟正黑體" w:hAnsi="微軟正黑體" w:hint="eastAsia"/>
              </w:rPr>
              <w:lastRenderedPageBreak/>
              <w:t>標</w:t>
            </w:r>
          </w:p>
        </w:tc>
        <w:tc>
          <w:tcPr>
            <w:tcW w:w="4536" w:type="dxa"/>
          </w:tcPr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lastRenderedPageBreak/>
              <w:t>1-1明瞭BIG6專題探究模式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2-1辨別事實、觀點和看法，組織資訊以實際應用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2-2具備善用科技資源以擬定與有效執行計劃</w:t>
            </w:r>
            <w:r w:rsidRPr="008844A3">
              <w:rPr>
                <w:rFonts w:ascii="微軟正黑體" w:eastAsia="微軟正黑體" w:hAnsi="微軟正黑體" w:hint="eastAsia"/>
                <w:sz w:val="21"/>
              </w:rPr>
              <w:lastRenderedPageBreak/>
              <w:t>的能力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3-1明瞭多元的資訊來源，使用策略搜尋所需要的資訊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3-2閱讀資訊且適當的摘要與提出問題</w:t>
            </w:r>
          </w:p>
          <w:p w:rsidR="00E22EBD" w:rsidRPr="008844A3" w:rsidRDefault="00E22EBD" w:rsidP="00EA0A7A">
            <w:pPr>
              <w:snapToGrid w:val="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4-1判斷資訊的精確性、相關性及完整性，以獲得有助於探究問題解決的資訊</w:t>
            </w:r>
          </w:p>
          <w:p w:rsidR="00E22EBD" w:rsidRPr="003133C1" w:rsidRDefault="00E22EBD" w:rsidP="00EA0A7A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4-2能將個人搜尋的新資訊作有效的整合，並提出異同之處</w:t>
            </w:r>
          </w:p>
        </w:tc>
        <w:tc>
          <w:tcPr>
            <w:tcW w:w="567" w:type="dxa"/>
            <w:vAlign w:val="center"/>
          </w:tcPr>
          <w:p w:rsidR="00E22EBD" w:rsidRPr="003133C1" w:rsidRDefault="00E22EBD" w:rsidP="00147CC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133C1">
              <w:rPr>
                <w:rFonts w:ascii="微軟正黑體" w:eastAsia="微軟正黑體" w:hAnsi="微軟正黑體" w:hint="eastAsia"/>
              </w:rPr>
              <w:lastRenderedPageBreak/>
              <w:t>能力指</w:t>
            </w:r>
            <w:r w:rsidRPr="003133C1">
              <w:rPr>
                <w:rFonts w:ascii="微軟正黑體" w:eastAsia="微軟正黑體" w:hAnsi="微軟正黑體" w:hint="eastAsia"/>
              </w:rPr>
              <w:lastRenderedPageBreak/>
              <w:t>標</w:t>
            </w:r>
          </w:p>
        </w:tc>
        <w:tc>
          <w:tcPr>
            <w:tcW w:w="3969" w:type="dxa"/>
          </w:tcPr>
          <w:p w:rsidR="00E22EBD" w:rsidRPr="008844A3" w:rsidRDefault="00E22EBD" w:rsidP="008844A3">
            <w:pPr>
              <w:snapToGrid w:val="0"/>
              <w:ind w:left="420" w:hangingChars="200" w:hanging="42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lastRenderedPageBreak/>
              <w:t>1-1具備正確的研究學術態度，並遵守相關法律</w:t>
            </w:r>
          </w:p>
          <w:p w:rsidR="00E22EBD" w:rsidRPr="008844A3" w:rsidRDefault="00E22EBD" w:rsidP="008844A3">
            <w:pPr>
              <w:snapToGrid w:val="0"/>
              <w:ind w:left="420" w:hangingChars="200" w:hanging="42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2-1具備利用科技資訊的應用能力進行專題報告</w:t>
            </w:r>
          </w:p>
          <w:p w:rsidR="00E22EBD" w:rsidRPr="008844A3" w:rsidRDefault="00E22EBD" w:rsidP="008844A3">
            <w:pPr>
              <w:snapToGrid w:val="0"/>
              <w:ind w:left="420" w:hangingChars="200" w:hanging="42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lastRenderedPageBreak/>
              <w:t>2-2</w:t>
            </w:r>
            <w:r w:rsidRPr="008844A3">
              <w:rPr>
                <w:rFonts w:ascii="微軟正黑體" w:eastAsia="微軟正黑體" w:hAnsi="微軟正黑體"/>
                <w:sz w:val="21"/>
              </w:rPr>
              <w:t xml:space="preserve"> </w:t>
            </w:r>
            <w:r w:rsidRPr="008844A3">
              <w:rPr>
                <w:rFonts w:ascii="微軟正黑體" w:eastAsia="微軟正黑體" w:hAnsi="微軟正黑體" w:hint="eastAsia"/>
                <w:sz w:val="21"/>
              </w:rPr>
              <w:t>具備理解與獨立思考的能力，應用資訊於批判思考及問題解決</w:t>
            </w:r>
          </w:p>
          <w:p w:rsidR="00E22EBD" w:rsidRPr="00293C7A" w:rsidRDefault="00E22EBD" w:rsidP="008844A3">
            <w:pPr>
              <w:snapToGrid w:val="0"/>
              <w:ind w:left="420" w:hangingChars="200" w:hanging="420"/>
              <w:rPr>
                <w:rFonts w:ascii="微軟正黑體" w:eastAsia="微軟正黑體" w:hAnsi="微軟正黑體"/>
                <w:sz w:val="21"/>
              </w:rPr>
            </w:pPr>
            <w:r w:rsidRPr="008844A3">
              <w:rPr>
                <w:rFonts w:ascii="微軟正黑體" w:eastAsia="微軟正黑體" w:hAnsi="微軟正黑體" w:hint="eastAsia"/>
                <w:sz w:val="21"/>
              </w:rPr>
              <w:t>3-1運用科技、資訊與各類媒體所提供的素材，進行檢索、統整、解釋及省思，並轉化成生活的能力與素養。</w:t>
            </w:r>
          </w:p>
        </w:tc>
      </w:tr>
    </w:tbl>
    <w:p w:rsidR="00414D28" w:rsidRPr="003133C1" w:rsidRDefault="00414D28" w:rsidP="00414195">
      <w:pPr>
        <w:snapToGrid w:val="0"/>
        <w:rPr>
          <w:rFonts w:ascii="微軟正黑體" w:eastAsia="微軟正黑體" w:hAnsi="微軟正黑體"/>
        </w:rPr>
      </w:pPr>
    </w:p>
    <w:p w:rsidR="00D03ECD" w:rsidRPr="000A1C41" w:rsidRDefault="00D03ECD" w:rsidP="00414195">
      <w:pPr>
        <w:snapToGrid w:val="0"/>
        <w:rPr>
          <w:rFonts w:ascii="微軟正黑體" w:eastAsia="微軟正黑體" w:hAnsi="微軟正黑體"/>
        </w:rPr>
      </w:pPr>
      <w:bookmarkStart w:id="1" w:name="_GoBack"/>
      <w:bookmarkEnd w:id="1"/>
    </w:p>
    <w:sectPr w:rsidR="00D03ECD" w:rsidRPr="000A1C41" w:rsidSect="00972473">
      <w:headerReference w:type="default" r:id="rId8"/>
      <w:footerReference w:type="default" r:id="rId9"/>
      <w:pgSz w:w="16838" w:h="11906" w:orient="landscape"/>
      <w:pgMar w:top="567" w:right="1134" w:bottom="567" w:left="1134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66" w:rsidRDefault="00742E66" w:rsidP="00B7213A">
      <w:r>
        <w:separator/>
      </w:r>
    </w:p>
  </w:endnote>
  <w:endnote w:type="continuationSeparator" w:id="0">
    <w:p w:rsidR="00742E66" w:rsidRDefault="00742E66" w:rsidP="00B7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311"/>
      <w:docPartObj>
        <w:docPartGallery w:val="Page Numbers (Bottom of Page)"/>
        <w:docPartUnique/>
      </w:docPartObj>
    </w:sdtPr>
    <w:sdtEndPr/>
    <w:sdtContent>
      <w:p w:rsidR="0009122A" w:rsidRDefault="000912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27E" w:rsidRPr="00D4727E">
          <w:rPr>
            <w:noProof/>
            <w:lang w:val="zh-TW"/>
          </w:rPr>
          <w:t>3</w:t>
        </w:r>
        <w:r>
          <w:fldChar w:fldCharType="end"/>
        </w:r>
      </w:p>
    </w:sdtContent>
  </w:sdt>
  <w:p w:rsidR="0002606B" w:rsidRDefault="000260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66" w:rsidRDefault="00742E66" w:rsidP="00B7213A">
      <w:r>
        <w:separator/>
      </w:r>
    </w:p>
  </w:footnote>
  <w:footnote w:type="continuationSeparator" w:id="0">
    <w:p w:rsidR="00742E66" w:rsidRDefault="00742E66" w:rsidP="00B7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AD" w:rsidRPr="00D268E8" w:rsidRDefault="00B673AD" w:rsidP="003133C1">
    <w:pPr>
      <w:pStyle w:val="a4"/>
      <w:ind w:right="260"/>
      <w:jc w:val="right"/>
      <w:rPr>
        <w:rFonts w:ascii="標楷體" w:eastAsia="標楷體" w:hAnsi="標楷體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27B"/>
    <w:multiLevelType w:val="hybridMultilevel"/>
    <w:tmpl w:val="7090C37E"/>
    <w:lvl w:ilvl="0" w:tplc="3D2E61D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585CCD"/>
    <w:multiLevelType w:val="hybridMultilevel"/>
    <w:tmpl w:val="57360D8E"/>
    <w:lvl w:ilvl="0" w:tplc="932EC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DD581F"/>
    <w:multiLevelType w:val="hybridMultilevel"/>
    <w:tmpl w:val="D01AFD82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778C3"/>
    <w:multiLevelType w:val="hybridMultilevel"/>
    <w:tmpl w:val="582E3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F155A"/>
    <w:multiLevelType w:val="hybridMultilevel"/>
    <w:tmpl w:val="C06A3700"/>
    <w:lvl w:ilvl="0" w:tplc="33E65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FF3C2B"/>
    <w:multiLevelType w:val="hybridMultilevel"/>
    <w:tmpl w:val="EE1C439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C877FD"/>
    <w:multiLevelType w:val="hybridMultilevel"/>
    <w:tmpl w:val="C4F69176"/>
    <w:lvl w:ilvl="0" w:tplc="EA52F2F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E92C00"/>
    <w:multiLevelType w:val="hybridMultilevel"/>
    <w:tmpl w:val="554EE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D26EDF"/>
    <w:multiLevelType w:val="hybridMultilevel"/>
    <w:tmpl w:val="65225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80641A"/>
    <w:multiLevelType w:val="hybridMultilevel"/>
    <w:tmpl w:val="8B6C2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E22EBC"/>
    <w:multiLevelType w:val="hybridMultilevel"/>
    <w:tmpl w:val="5BE26BE6"/>
    <w:lvl w:ilvl="0" w:tplc="15A6DC54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224525C"/>
    <w:multiLevelType w:val="hybridMultilevel"/>
    <w:tmpl w:val="D7CAE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A819F1"/>
    <w:multiLevelType w:val="hybridMultilevel"/>
    <w:tmpl w:val="B7889532"/>
    <w:lvl w:ilvl="0" w:tplc="8C3C7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3E1224"/>
    <w:multiLevelType w:val="hybridMultilevel"/>
    <w:tmpl w:val="55C28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F56640"/>
    <w:multiLevelType w:val="hybridMultilevel"/>
    <w:tmpl w:val="6ACED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24167EB"/>
    <w:multiLevelType w:val="hybridMultilevel"/>
    <w:tmpl w:val="7EEEE142"/>
    <w:lvl w:ilvl="0" w:tplc="6BE21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5C20EF"/>
    <w:multiLevelType w:val="hybridMultilevel"/>
    <w:tmpl w:val="3740F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B57A2D"/>
    <w:multiLevelType w:val="hybridMultilevel"/>
    <w:tmpl w:val="74B48616"/>
    <w:lvl w:ilvl="0" w:tplc="18A4B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7C19B8"/>
    <w:multiLevelType w:val="hybridMultilevel"/>
    <w:tmpl w:val="C53C1AE4"/>
    <w:lvl w:ilvl="0" w:tplc="4688617E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D9753C"/>
    <w:multiLevelType w:val="hybridMultilevel"/>
    <w:tmpl w:val="789432F4"/>
    <w:lvl w:ilvl="0" w:tplc="1B747240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87F4C39"/>
    <w:multiLevelType w:val="hybridMultilevel"/>
    <w:tmpl w:val="DBF6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42664F"/>
    <w:multiLevelType w:val="hybridMultilevel"/>
    <w:tmpl w:val="D7CAE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890CAA"/>
    <w:multiLevelType w:val="hybridMultilevel"/>
    <w:tmpl w:val="DBF6F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DD630F"/>
    <w:multiLevelType w:val="hybridMultilevel"/>
    <w:tmpl w:val="71AC700E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155E51"/>
    <w:multiLevelType w:val="hybridMultilevel"/>
    <w:tmpl w:val="D01AFD82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3C28C9"/>
    <w:multiLevelType w:val="hybridMultilevel"/>
    <w:tmpl w:val="3112CBDA"/>
    <w:lvl w:ilvl="0" w:tplc="1B0E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18"/>
  </w:num>
  <w:num w:numId="6">
    <w:abstractNumId w:val="17"/>
  </w:num>
  <w:num w:numId="7">
    <w:abstractNumId w:val="19"/>
  </w:num>
  <w:num w:numId="8">
    <w:abstractNumId w:val="15"/>
  </w:num>
  <w:num w:numId="9">
    <w:abstractNumId w:val="14"/>
  </w:num>
  <w:num w:numId="10">
    <w:abstractNumId w:val="25"/>
  </w:num>
  <w:num w:numId="11">
    <w:abstractNumId w:val="23"/>
  </w:num>
  <w:num w:numId="12">
    <w:abstractNumId w:val="2"/>
  </w:num>
  <w:num w:numId="13">
    <w:abstractNumId w:val="24"/>
  </w:num>
  <w:num w:numId="14">
    <w:abstractNumId w:val="9"/>
  </w:num>
  <w:num w:numId="15">
    <w:abstractNumId w:val="21"/>
  </w:num>
  <w:num w:numId="16">
    <w:abstractNumId w:val="11"/>
  </w:num>
  <w:num w:numId="17">
    <w:abstractNumId w:val="3"/>
  </w:num>
  <w:num w:numId="18">
    <w:abstractNumId w:val="20"/>
  </w:num>
  <w:num w:numId="19">
    <w:abstractNumId w:val="22"/>
  </w:num>
  <w:num w:numId="20">
    <w:abstractNumId w:val="8"/>
  </w:num>
  <w:num w:numId="21">
    <w:abstractNumId w:val="7"/>
  </w:num>
  <w:num w:numId="22">
    <w:abstractNumId w:val="16"/>
  </w:num>
  <w:num w:numId="23">
    <w:abstractNumId w:val="13"/>
  </w:num>
  <w:num w:numId="24">
    <w:abstractNumId w:val="6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95"/>
    <w:rsid w:val="00000BBC"/>
    <w:rsid w:val="0000516D"/>
    <w:rsid w:val="00025946"/>
    <w:rsid w:val="0002606B"/>
    <w:rsid w:val="000636F7"/>
    <w:rsid w:val="00064FE9"/>
    <w:rsid w:val="0009122A"/>
    <w:rsid w:val="000957B8"/>
    <w:rsid w:val="000A1C41"/>
    <w:rsid w:val="000A2BB0"/>
    <w:rsid w:val="000C37F9"/>
    <w:rsid w:val="000D2589"/>
    <w:rsid w:val="000D7313"/>
    <w:rsid w:val="000E2759"/>
    <w:rsid w:val="00105391"/>
    <w:rsid w:val="001056D8"/>
    <w:rsid w:val="00106A51"/>
    <w:rsid w:val="0011149F"/>
    <w:rsid w:val="001616E3"/>
    <w:rsid w:val="0018193B"/>
    <w:rsid w:val="00186A95"/>
    <w:rsid w:val="00190198"/>
    <w:rsid w:val="00194376"/>
    <w:rsid w:val="0019762A"/>
    <w:rsid w:val="001A3143"/>
    <w:rsid w:val="001B248C"/>
    <w:rsid w:val="001E0F6B"/>
    <w:rsid w:val="001E4A7A"/>
    <w:rsid w:val="001F1845"/>
    <w:rsid w:val="00202493"/>
    <w:rsid w:val="00203705"/>
    <w:rsid w:val="0023238E"/>
    <w:rsid w:val="00232D6F"/>
    <w:rsid w:val="002444DE"/>
    <w:rsid w:val="002636A0"/>
    <w:rsid w:val="00293C7A"/>
    <w:rsid w:val="0029585D"/>
    <w:rsid w:val="002D6A15"/>
    <w:rsid w:val="002E4C9B"/>
    <w:rsid w:val="002E6AD1"/>
    <w:rsid w:val="002F4874"/>
    <w:rsid w:val="002F5713"/>
    <w:rsid w:val="002F71BC"/>
    <w:rsid w:val="00301799"/>
    <w:rsid w:val="003133C1"/>
    <w:rsid w:val="00314998"/>
    <w:rsid w:val="00317C7A"/>
    <w:rsid w:val="00325E41"/>
    <w:rsid w:val="0033355C"/>
    <w:rsid w:val="00353F6B"/>
    <w:rsid w:val="0036097D"/>
    <w:rsid w:val="003674CA"/>
    <w:rsid w:val="003758C8"/>
    <w:rsid w:val="00384660"/>
    <w:rsid w:val="00384B50"/>
    <w:rsid w:val="003A1C72"/>
    <w:rsid w:val="003B14DC"/>
    <w:rsid w:val="003B1EA4"/>
    <w:rsid w:val="003B51EE"/>
    <w:rsid w:val="003E601C"/>
    <w:rsid w:val="003E6D62"/>
    <w:rsid w:val="003F61F0"/>
    <w:rsid w:val="00412DA1"/>
    <w:rsid w:val="00412E3A"/>
    <w:rsid w:val="004131BC"/>
    <w:rsid w:val="00414195"/>
    <w:rsid w:val="00414D28"/>
    <w:rsid w:val="00416F8E"/>
    <w:rsid w:val="00443835"/>
    <w:rsid w:val="004625FA"/>
    <w:rsid w:val="004870F7"/>
    <w:rsid w:val="004B4B5B"/>
    <w:rsid w:val="004B63F5"/>
    <w:rsid w:val="004C3A9A"/>
    <w:rsid w:val="004D2627"/>
    <w:rsid w:val="004D5A23"/>
    <w:rsid w:val="00521173"/>
    <w:rsid w:val="005330F3"/>
    <w:rsid w:val="00556212"/>
    <w:rsid w:val="00583E20"/>
    <w:rsid w:val="005C10A4"/>
    <w:rsid w:val="005D7D2B"/>
    <w:rsid w:val="005E40DE"/>
    <w:rsid w:val="005E5F2B"/>
    <w:rsid w:val="00623B01"/>
    <w:rsid w:val="00624A10"/>
    <w:rsid w:val="00645C94"/>
    <w:rsid w:val="00650639"/>
    <w:rsid w:val="006726BF"/>
    <w:rsid w:val="006740BC"/>
    <w:rsid w:val="006858A4"/>
    <w:rsid w:val="006E397F"/>
    <w:rsid w:val="006F7B26"/>
    <w:rsid w:val="007001F3"/>
    <w:rsid w:val="00712029"/>
    <w:rsid w:val="0072348A"/>
    <w:rsid w:val="007427A8"/>
    <w:rsid w:val="00742E66"/>
    <w:rsid w:val="00750AE1"/>
    <w:rsid w:val="00762E22"/>
    <w:rsid w:val="00765858"/>
    <w:rsid w:val="00777518"/>
    <w:rsid w:val="0078378C"/>
    <w:rsid w:val="007D0817"/>
    <w:rsid w:val="007D3EA3"/>
    <w:rsid w:val="007D7FA8"/>
    <w:rsid w:val="007E0099"/>
    <w:rsid w:val="007E292F"/>
    <w:rsid w:val="007E3FD3"/>
    <w:rsid w:val="0080051B"/>
    <w:rsid w:val="0080606F"/>
    <w:rsid w:val="0083087A"/>
    <w:rsid w:val="00845AEF"/>
    <w:rsid w:val="0084615F"/>
    <w:rsid w:val="00861234"/>
    <w:rsid w:val="00877754"/>
    <w:rsid w:val="008844A3"/>
    <w:rsid w:val="00890958"/>
    <w:rsid w:val="00892FDD"/>
    <w:rsid w:val="008A4670"/>
    <w:rsid w:val="008C0CD3"/>
    <w:rsid w:val="008C138D"/>
    <w:rsid w:val="008F6002"/>
    <w:rsid w:val="00901F31"/>
    <w:rsid w:val="0090545F"/>
    <w:rsid w:val="0091594E"/>
    <w:rsid w:val="00945B6C"/>
    <w:rsid w:val="00946BA0"/>
    <w:rsid w:val="0095039A"/>
    <w:rsid w:val="00953466"/>
    <w:rsid w:val="009655A4"/>
    <w:rsid w:val="00972473"/>
    <w:rsid w:val="009779A5"/>
    <w:rsid w:val="00981915"/>
    <w:rsid w:val="009823BA"/>
    <w:rsid w:val="009949B5"/>
    <w:rsid w:val="009A1B48"/>
    <w:rsid w:val="009B2207"/>
    <w:rsid w:val="009B6262"/>
    <w:rsid w:val="009D6D2D"/>
    <w:rsid w:val="009F1C9D"/>
    <w:rsid w:val="00A057B9"/>
    <w:rsid w:val="00A1533B"/>
    <w:rsid w:val="00A24DA9"/>
    <w:rsid w:val="00A25103"/>
    <w:rsid w:val="00A32B2C"/>
    <w:rsid w:val="00A34B3D"/>
    <w:rsid w:val="00A419A7"/>
    <w:rsid w:val="00A42B75"/>
    <w:rsid w:val="00A5033D"/>
    <w:rsid w:val="00A62812"/>
    <w:rsid w:val="00A63776"/>
    <w:rsid w:val="00A719E6"/>
    <w:rsid w:val="00A76500"/>
    <w:rsid w:val="00A8372D"/>
    <w:rsid w:val="00A83D1B"/>
    <w:rsid w:val="00A90244"/>
    <w:rsid w:val="00AE0452"/>
    <w:rsid w:val="00AE51D3"/>
    <w:rsid w:val="00AF1B8B"/>
    <w:rsid w:val="00B04B58"/>
    <w:rsid w:val="00B23D2D"/>
    <w:rsid w:val="00B351C7"/>
    <w:rsid w:val="00B35237"/>
    <w:rsid w:val="00B36150"/>
    <w:rsid w:val="00B37412"/>
    <w:rsid w:val="00B425F6"/>
    <w:rsid w:val="00B5309C"/>
    <w:rsid w:val="00B565E2"/>
    <w:rsid w:val="00B6046E"/>
    <w:rsid w:val="00B6377E"/>
    <w:rsid w:val="00B673AD"/>
    <w:rsid w:val="00B70A1E"/>
    <w:rsid w:val="00B7213A"/>
    <w:rsid w:val="00B91D95"/>
    <w:rsid w:val="00BC611D"/>
    <w:rsid w:val="00BD3C23"/>
    <w:rsid w:val="00BE41A0"/>
    <w:rsid w:val="00BE7BB4"/>
    <w:rsid w:val="00BF2061"/>
    <w:rsid w:val="00C4778E"/>
    <w:rsid w:val="00C672A7"/>
    <w:rsid w:val="00C717A4"/>
    <w:rsid w:val="00C873F5"/>
    <w:rsid w:val="00C9378A"/>
    <w:rsid w:val="00CB0012"/>
    <w:rsid w:val="00CC22CA"/>
    <w:rsid w:val="00CC3721"/>
    <w:rsid w:val="00CD4977"/>
    <w:rsid w:val="00CD4F6E"/>
    <w:rsid w:val="00CD7FE3"/>
    <w:rsid w:val="00CE2792"/>
    <w:rsid w:val="00CE34E8"/>
    <w:rsid w:val="00CF19F1"/>
    <w:rsid w:val="00D00CEE"/>
    <w:rsid w:val="00D0296C"/>
    <w:rsid w:val="00D03ECD"/>
    <w:rsid w:val="00D20CA1"/>
    <w:rsid w:val="00D268E8"/>
    <w:rsid w:val="00D409EA"/>
    <w:rsid w:val="00D4727E"/>
    <w:rsid w:val="00D566E5"/>
    <w:rsid w:val="00D646AE"/>
    <w:rsid w:val="00D66374"/>
    <w:rsid w:val="00D81496"/>
    <w:rsid w:val="00D86D72"/>
    <w:rsid w:val="00DA75A4"/>
    <w:rsid w:val="00DB3D1F"/>
    <w:rsid w:val="00DC132B"/>
    <w:rsid w:val="00DC2CCA"/>
    <w:rsid w:val="00DE2F9E"/>
    <w:rsid w:val="00DE37F5"/>
    <w:rsid w:val="00DF18F1"/>
    <w:rsid w:val="00E0396C"/>
    <w:rsid w:val="00E13D37"/>
    <w:rsid w:val="00E165C2"/>
    <w:rsid w:val="00E22EBD"/>
    <w:rsid w:val="00E265EE"/>
    <w:rsid w:val="00E454AD"/>
    <w:rsid w:val="00E60BF3"/>
    <w:rsid w:val="00E90A4F"/>
    <w:rsid w:val="00EA0A7A"/>
    <w:rsid w:val="00EA7B68"/>
    <w:rsid w:val="00EB4FAB"/>
    <w:rsid w:val="00EC0039"/>
    <w:rsid w:val="00EC68E0"/>
    <w:rsid w:val="00EC6C4A"/>
    <w:rsid w:val="00EF444F"/>
    <w:rsid w:val="00EF4821"/>
    <w:rsid w:val="00F13C55"/>
    <w:rsid w:val="00F14921"/>
    <w:rsid w:val="00F2585A"/>
    <w:rsid w:val="00F50260"/>
    <w:rsid w:val="00F533FD"/>
    <w:rsid w:val="00F55ADC"/>
    <w:rsid w:val="00F57043"/>
    <w:rsid w:val="00F70C27"/>
    <w:rsid w:val="00F901F7"/>
    <w:rsid w:val="00FB28EE"/>
    <w:rsid w:val="00FD7440"/>
    <w:rsid w:val="00FE3BA6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9"/>
    <w:qFormat/>
    <w:rsid w:val="00D03ECD"/>
    <w:pPr>
      <w:keepNext/>
      <w:keepLines/>
      <w:widowControl/>
      <w:spacing w:before="320" w:after="80" w:line="276" w:lineRule="auto"/>
      <w:contextualSpacing/>
      <w:outlineLvl w:val="2"/>
    </w:pPr>
    <w:rPr>
      <w:rFonts w:ascii="Arial" w:eastAsia="新細明體" w:hAnsi="Arial" w:cs="Arial"/>
      <w:color w:val="43434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13A"/>
    <w:rPr>
      <w:sz w:val="20"/>
      <w:szCs w:val="20"/>
    </w:rPr>
  </w:style>
  <w:style w:type="paragraph" w:styleId="a8">
    <w:name w:val="List Paragraph"/>
    <w:basedOn w:val="a"/>
    <w:uiPriority w:val="34"/>
    <w:qFormat/>
    <w:rsid w:val="009B6262"/>
    <w:pPr>
      <w:ind w:leftChars="200" w:left="480"/>
    </w:pPr>
  </w:style>
  <w:style w:type="character" w:styleId="a9">
    <w:name w:val="page number"/>
    <w:basedOn w:val="a0"/>
    <w:rsid w:val="00412DA1"/>
  </w:style>
  <w:style w:type="character" w:customStyle="1" w:styleId="30">
    <w:name w:val="標題 3 字元"/>
    <w:basedOn w:val="a0"/>
    <w:link w:val="3"/>
    <w:uiPriority w:val="99"/>
    <w:rsid w:val="00D03ECD"/>
    <w:rPr>
      <w:rFonts w:ascii="Arial" w:eastAsia="新細明體" w:hAnsi="Arial" w:cs="Arial"/>
      <w:color w:val="434343"/>
      <w:kern w:val="0"/>
      <w:sz w:val="28"/>
      <w:szCs w:val="28"/>
    </w:rPr>
  </w:style>
  <w:style w:type="paragraph" w:customStyle="1" w:styleId="1">
    <w:name w:val="內文1"/>
    <w:uiPriority w:val="99"/>
    <w:rsid w:val="00D03EC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9"/>
    <w:qFormat/>
    <w:rsid w:val="00D03ECD"/>
    <w:pPr>
      <w:keepNext/>
      <w:keepLines/>
      <w:widowControl/>
      <w:spacing w:before="320" w:after="80" w:line="276" w:lineRule="auto"/>
      <w:contextualSpacing/>
      <w:outlineLvl w:val="2"/>
    </w:pPr>
    <w:rPr>
      <w:rFonts w:ascii="Arial" w:eastAsia="新細明體" w:hAnsi="Arial" w:cs="Arial"/>
      <w:color w:val="43434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21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13A"/>
    <w:rPr>
      <w:sz w:val="20"/>
      <w:szCs w:val="20"/>
    </w:rPr>
  </w:style>
  <w:style w:type="paragraph" w:styleId="a8">
    <w:name w:val="List Paragraph"/>
    <w:basedOn w:val="a"/>
    <w:uiPriority w:val="34"/>
    <w:qFormat/>
    <w:rsid w:val="009B6262"/>
    <w:pPr>
      <w:ind w:leftChars="200" w:left="480"/>
    </w:pPr>
  </w:style>
  <w:style w:type="character" w:styleId="a9">
    <w:name w:val="page number"/>
    <w:basedOn w:val="a0"/>
    <w:rsid w:val="00412DA1"/>
  </w:style>
  <w:style w:type="character" w:customStyle="1" w:styleId="30">
    <w:name w:val="標題 3 字元"/>
    <w:basedOn w:val="a0"/>
    <w:link w:val="3"/>
    <w:uiPriority w:val="99"/>
    <w:rsid w:val="00D03ECD"/>
    <w:rPr>
      <w:rFonts w:ascii="Arial" w:eastAsia="新細明體" w:hAnsi="Arial" w:cs="Arial"/>
      <w:color w:val="434343"/>
      <w:kern w:val="0"/>
      <w:sz w:val="28"/>
      <w:szCs w:val="28"/>
    </w:rPr>
  </w:style>
  <w:style w:type="paragraph" w:customStyle="1" w:styleId="1">
    <w:name w:val="內文1"/>
    <w:uiPriority w:val="99"/>
    <w:rsid w:val="00D03ECD"/>
    <w:pPr>
      <w:spacing w:line="276" w:lineRule="auto"/>
    </w:pPr>
    <w:rPr>
      <w:rFonts w:ascii="Arial" w:eastAsia="新細明體" w:hAnsi="Arial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Chen</dc:creator>
  <cp:lastModifiedBy>User</cp:lastModifiedBy>
  <cp:revision>9</cp:revision>
  <cp:lastPrinted>2018-06-28T01:52:00Z</cp:lastPrinted>
  <dcterms:created xsi:type="dcterms:W3CDTF">2018-06-28T01:47:00Z</dcterms:created>
  <dcterms:modified xsi:type="dcterms:W3CDTF">2018-06-28T01:53:00Z</dcterms:modified>
</cp:coreProperties>
</file>